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C0DC03">
      <w:pPr>
        <w:jc w:val="center"/>
        <w:rPr>
          <w:rFonts w:ascii="宋体" w:hAnsi="宋体" w:cs="宋体"/>
          <w:b/>
          <w:bCs/>
          <w:sz w:val="28"/>
          <w:szCs w:val="28"/>
        </w:rPr>
      </w:pPr>
    </w:p>
    <w:p w14:paraId="5246585F">
      <w:pPr>
        <w:jc w:val="center"/>
        <w:rPr>
          <w:rFonts w:ascii="宋体" w:hAnsi="宋体" w:cs="宋体"/>
          <w:b/>
          <w:bCs/>
          <w:sz w:val="28"/>
          <w:szCs w:val="28"/>
        </w:rPr>
      </w:pPr>
      <w:r>
        <w:rPr>
          <w:rFonts w:hint="eastAsia" w:ascii="宋体" w:hAnsi="宋体" w:cs="宋体"/>
          <w:b/>
          <w:bCs/>
          <w:sz w:val="28"/>
          <w:szCs w:val="28"/>
        </w:rPr>
        <w:t>上海交通大学人文学院2026年博士研究生招生综合考核办法</w:t>
      </w:r>
    </w:p>
    <w:p w14:paraId="0A05EAD5">
      <w:pPr>
        <w:jc w:val="left"/>
        <w:rPr>
          <w:b/>
          <w:bCs/>
          <w:sz w:val="30"/>
          <w:szCs w:val="30"/>
        </w:rPr>
      </w:pPr>
    </w:p>
    <w:p w14:paraId="1402CE50">
      <w:pPr>
        <w:jc w:val="left"/>
        <w:rPr>
          <w:b/>
          <w:bCs/>
          <w:sz w:val="30"/>
          <w:szCs w:val="30"/>
        </w:rPr>
      </w:pPr>
      <w:r>
        <w:rPr>
          <w:rFonts w:hint="eastAsia"/>
          <w:b/>
          <w:bCs/>
          <w:sz w:val="30"/>
          <w:szCs w:val="30"/>
        </w:rPr>
        <w:t>一、综合考核安排</w:t>
      </w:r>
    </w:p>
    <w:p w14:paraId="4F8F73F0">
      <w:pPr>
        <w:spacing w:line="360" w:lineRule="auto"/>
        <w:ind w:firstLine="480" w:firstLineChars="200"/>
        <w:jc w:val="left"/>
        <w:rPr>
          <w:rFonts w:hint="eastAsia" w:ascii="宋体" w:hAnsi="宋体" w:cs="宋体"/>
          <w:color w:val="000000"/>
          <w:kern w:val="0"/>
          <w:sz w:val="24"/>
          <w:szCs w:val="24"/>
        </w:rPr>
      </w:pPr>
      <w:r>
        <w:rPr>
          <w:rFonts w:ascii="宋体" w:hAnsi="宋体" w:cs="宋体"/>
          <w:color w:val="000000"/>
          <w:kern w:val="0"/>
          <w:sz w:val="24"/>
          <w:szCs w:val="24"/>
        </w:rPr>
        <w:t>学院将通过考生报名邮箱向进入</w:t>
      </w:r>
      <w:r>
        <w:rPr>
          <w:rFonts w:hint="eastAsia" w:ascii="宋体" w:hAnsi="宋体" w:cs="宋体"/>
          <w:color w:val="000000"/>
          <w:kern w:val="0"/>
          <w:sz w:val="24"/>
          <w:szCs w:val="24"/>
        </w:rPr>
        <w:t>综合考核</w:t>
      </w:r>
      <w:r>
        <w:rPr>
          <w:rFonts w:ascii="宋体" w:hAnsi="宋体" w:cs="宋体"/>
          <w:color w:val="000000"/>
          <w:kern w:val="0"/>
          <w:sz w:val="24"/>
          <w:szCs w:val="24"/>
        </w:rPr>
        <w:t>的考生发送邮件，</w:t>
      </w:r>
      <w:r>
        <w:rPr>
          <w:rFonts w:hint="eastAsia" w:ascii="宋体" w:hAnsi="宋体" w:cs="宋体"/>
          <w:color w:val="000000"/>
          <w:kern w:val="0"/>
          <w:sz w:val="24"/>
          <w:szCs w:val="24"/>
        </w:rPr>
        <w:t>请入围的同学于202</w:t>
      </w:r>
      <w:r>
        <w:rPr>
          <w:rFonts w:ascii="宋体" w:hAnsi="宋体" w:cs="宋体"/>
          <w:color w:val="000000"/>
          <w:kern w:val="0"/>
          <w:sz w:val="24"/>
          <w:szCs w:val="24"/>
        </w:rPr>
        <w:t>5</w:t>
      </w:r>
      <w:r>
        <w:rPr>
          <w:rFonts w:hint="eastAsia" w:ascii="宋体" w:hAnsi="宋体" w:cs="宋体"/>
          <w:color w:val="000000"/>
          <w:kern w:val="0"/>
          <w:sz w:val="24"/>
          <w:szCs w:val="24"/>
        </w:rPr>
        <w:t>年12月30日下午5点前发送邮件至</w:t>
      </w:r>
      <w:r>
        <w:fldChar w:fldCharType="begin"/>
      </w:r>
      <w:r>
        <w:instrText xml:space="preserve"> HYPERLINK "mailto:rwky@sjtu.edu.cn" </w:instrText>
      </w:r>
      <w:r>
        <w:fldChar w:fldCharType="separate"/>
      </w:r>
      <w:r>
        <w:rPr>
          <w:rStyle w:val="9"/>
          <w:rFonts w:hint="eastAsia" w:ascii="宋体" w:hAnsi="宋体" w:cs="宋体"/>
          <w:kern w:val="0"/>
          <w:sz w:val="24"/>
          <w:szCs w:val="24"/>
        </w:rPr>
        <w:t>rwky@sjtu.edu.cn</w:t>
      </w:r>
      <w:r>
        <w:rPr>
          <w:rStyle w:val="9"/>
          <w:rFonts w:hint="eastAsia" w:ascii="宋体" w:hAnsi="宋体" w:cs="宋体"/>
          <w:kern w:val="0"/>
          <w:sz w:val="24"/>
          <w:szCs w:val="24"/>
        </w:rPr>
        <w:fldChar w:fldCharType="end"/>
      </w:r>
      <w:r>
        <w:rPr>
          <w:rFonts w:hint="eastAsia" w:ascii="宋体" w:hAnsi="宋体" w:cs="宋体"/>
          <w:color w:val="000000"/>
          <w:kern w:val="0"/>
          <w:sz w:val="24"/>
          <w:szCs w:val="24"/>
        </w:rPr>
        <w:t>确认是否参加考核，邮件主题</w:t>
      </w:r>
      <w:r>
        <w:rPr>
          <w:rFonts w:ascii="宋体" w:hAnsi="宋体" w:cs="宋体"/>
          <w:color w:val="000000"/>
          <w:kern w:val="0"/>
          <w:sz w:val="24"/>
          <w:szCs w:val="24"/>
        </w:rPr>
        <w:t>请</w:t>
      </w:r>
      <w:r>
        <w:rPr>
          <w:rFonts w:hint="eastAsia" w:ascii="宋体" w:hAnsi="宋体" w:cs="宋体"/>
          <w:color w:val="000000"/>
          <w:kern w:val="0"/>
          <w:sz w:val="24"/>
          <w:szCs w:val="24"/>
        </w:rPr>
        <w:t>写明“姓名+确认参加</w:t>
      </w:r>
      <w:r>
        <w:rPr>
          <w:rFonts w:ascii="宋体" w:hAnsi="宋体" w:cs="宋体"/>
          <w:color w:val="000000"/>
          <w:kern w:val="0"/>
          <w:sz w:val="24"/>
          <w:szCs w:val="24"/>
        </w:rPr>
        <w:t>/不参加</w:t>
      </w:r>
      <w:r>
        <w:rPr>
          <w:rFonts w:hint="eastAsia" w:ascii="宋体" w:hAnsi="宋体" w:cs="宋体"/>
          <w:color w:val="000000"/>
          <w:kern w:val="0"/>
          <w:sz w:val="24"/>
          <w:szCs w:val="24"/>
        </w:rPr>
        <w:t>综合考核”，</w:t>
      </w:r>
      <w:r>
        <w:rPr>
          <w:rFonts w:ascii="宋体" w:hAnsi="宋体" w:cs="宋体"/>
          <w:color w:val="000000"/>
          <w:kern w:val="0"/>
          <w:sz w:val="24"/>
          <w:szCs w:val="24"/>
        </w:rPr>
        <w:t>邮件内容中须注明考生身份证号、姓名、报考导师等信息。</w:t>
      </w:r>
      <w:r>
        <w:rPr>
          <w:rFonts w:hint="eastAsia" w:ascii="宋体" w:hAnsi="宋体" w:cs="宋体"/>
          <w:color w:val="000000"/>
          <w:kern w:val="0"/>
          <w:sz w:val="24"/>
          <w:szCs w:val="24"/>
        </w:rPr>
        <w:t>逾期视为放弃。</w:t>
      </w:r>
    </w:p>
    <w:p w14:paraId="1C038FF1">
      <w:pPr>
        <w:spacing w:line="360" w:lineRule="auto"/>
        <w:ind w:firstLine="480" w:firstLineChars="200"/>
        <w:jc w:val="left"/>
        <w:rPr>
          <w:rFonts w:hint="eastAsia" w:ascii="宋体" w:hAnsi="宋体" w:cs="宋体"/>
          <w:color w:val="000000"/>
          <w:kern w:val="0"/>
          <w:sz w:val="24"/>
          <w:szCs w:val="24"/>
        </w:rPr>
      </w:pPr>
    </w:p>
    <w:p w14:paraId="3DBFD0B1">
      <w:pPr>
        <w:jc w:val="lef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</w:t>
      </w:r>
      <w:r>
        <w:rPr>
          <w:rFonts w:hint="eastAsia"/>
          <w:b/>
          <w:bCs/>
          <w:sz w:val="28"/>
          <w:szCs w:val="28"/>
        </w:rPr>
        <w:t>、资格审查</w:t>
      </w:r>
    </w:p>
    <w:p w14:paraId="3F4C558A">
      <w:pPr>
        <w:spacing w:line="360" w:lineRule="auto"/>
        <w:ind w:firstLine="480" w:firstLineChars="200"/>
        <w:jc w:val="left"/>
        <w:rPr>
          <w:rFonts w:ascii="宋体" w:hAnsi="宋体" w:cs="宋体"/>
          <w:color w:val="000000"/>
          <w:kern w:val="0"/>
          <w:sz w:val="24"/>
          <w:szCs w:val="24"/>
        </w:rPr>
      </w:pPr>
      <w:r>
        <w:rPr>
          <w:rFonts w:ascii="宋体" w:hAnsi="宋体" w:cs="宋体"/>
          <w:color w:val="000000"/>
          <w:kern w:val="0"/>
          <w:sz w:val="24"/>
          <w:szCs w:val="24"/>
        </w:rPr>
        <w:t>时间：202</w:t>
      </w:r>
      <w:r>
        <w:rPr>
          <w:rFonts w:hint="eastAsia" w:ascii="宋体" w:hAnsi="宋体" w:cs="宋体"/>
          <w:color w:val="000000"/>
          <w:kern w:val="0"/>
          <w:sz w:val="24"/>
          <w:szCs w:val="24"/>
        </w:rPr>
        <w:t>6</w:t>
      </w:r>
      <w:r>
        <w:rPr>
          <w:rFonts w:ascii="宋体" w:hAnsi="宋体" w:cs="宋体"/>
          <w:color w:val="000000"/>
          <w:kern w:val="0"/>
          <w:sz w:val="24"/>
          <w:szCs w:val="24"/>
        </w:rPr>
        <w:t>年1月</w:t>
      </w:r>
      <w:r>
        <w:rPr>
          <w:rFonts w:hint="eastAsia" w:ascii="宋体" w:hAnsi="宋体" w:cs="宋体"/>
          <w:color w:val="000000"/>
          <w:kern w:val="0"/>
          <w:sz w:val="24"/>
          <w:szCs w:val="24"/>
        </w:rPr>
        <w:t>4</w:t>
      </w:r>
      <w:r>
        <w:rPr>
          <w:rFonts w:ascii="宋体" w:hAnsi="宋体" w:cs="宋体"/>
          <w:color w:val="000000"/>
          <w:kern w:val="0"/>
          <w:sz w:val="24"/>
          <w:szCs w:val="24"/>
        </w:rPr>
        <w:t>日上午7:45-8:15</w:t>
      </w:r>
    </w:p>
    <w:p w14:paraId="161F7179">
      <w:pPr>
        <w:spacing w:line="360" w:lineRule="auto"/>
        <w:ind w:firstLine="480" w:firstLineChars="200"/>
        <w:jc w:val="left"/>
        <w:rPr>
          <w:rFonts w:ascii="宋体" w:hAnsi="宋体" w:cs="宋体"/>
          <w:color w:val="000000"/>
          <w:kern w:val="0"/>
          <w:sz w:val="24"/>
          <w:szCs w:val="24"/>
        </w:rPr>
      </w:pPr>
      <w:r>
        <w:rPr>
          <w:rFonts w:ascii="宋体" w:hAnsi="宋体" w:cs="宋体"/>
          <w:color w:val="000000"/>
          <w:kern w:val="0"/>
          <w:sz w:val="24"/>
          <w:szCs w:val="24"/>
        </w:rPr>
        <w:t>地点：上海交通大学闵行校区</w:t>
      </w:r>
      <w:r>
        <w:rPr>
          <w:rFonts w:hint="eastAsia" w:ascii="宋体" w:hAnsi="宋体" w:cs="宋体"/>
          <w:color w:val="000000"/>
          <w:kern w:val="0"/>
          <w:sz w:val="24"/>
          <w:szCs w:val="24"/>
        </w:rPr>
        <w:t>东上院307</w:t>
      </w:r>
      <w:r>
        <w:rPr>
          <w:rFonts w:ascii="宋体" w:hAnsi="宋体" w:cs="宋体"/>
          <w:color w:val="000000"/>
          <w:kern w:val="0"/>
          <w:sz w:val="24"/>
          <w:szCs w:val="24"/>
        </w:rPr>
        <w:t>教室</w:t>
      </w:r>
    </w:p>
    <w:p w14:paraId="662FD1B7">
      <w:pPr>
        <w:spacing w:line="360" w:lineRule="auto"/>
        <w:ind w:firstLine="480" w:firstLineChars="200"/>
        <w:jc w:val="left"/>
        <w:rPr>
          <w:rFonts w:ascii="宋体" w:hAnsi="宋体" w:cs="宋体"/>
          <w:color w:val="000000"/>
          <w:kern w:val="0"/>
          <w:sz w:val="24"/>
          <w:szCs w:val="24"/>
        </w:rPr>
      </w:pPr>
      <w:r>
        <w:rPr>
          <w:rFonts w:ascii="宋体" w:hAnsi="宋体" w:cs="宋体"/>
          <w:color w:val="000000"/>
          <w:kern w:val="0"/>
          <w:sz w:val="24"/>
          <w:szCs w:val="24"/>
        </w:rPr>
        <w:t>资格审查材料清单如下：</w:t>
      </w:r>
    </w:p>
    <w:p w14:paraId="4F70A068">
      <w:pPr>
        <w:spacing w:line="360" w:lineRule="auto"/>
        <w:jc w:val="left"/>
        <w:rPr>
          <w:rFonts w:ascii="宋体" w:hAnsi="宋体" w:cs="宋体"/>
          <w:color w:val="000000"/>
          <w:kern w:val="0"/>
          <w:sz w:val="24"/>
          <w:szCs w:val="24"/>
        </w:rPr>
      </w:pPr>
      <w:r>
        <w:rPr>
          <w:rFonts w:hint="eastAsia" w:ascii="宋体" w:hAnsi="宋体" w:cs="宋体"/>
          <w:color w:val="000000"/>
          <w:kern w:val="0"/>
          <w:sz w:val="24"/>
          <w:szCs w:val="24"/>
        </w:rPr>
        <w:t>（</w:t>
      </w:r>
      <w:r>
        <w:rPr>
          <w:rFonts w:ascii="宋体" w:hAnsi="宋体" w:cs="宋体"/>
          <w:color w:val="000000"/>
          <w:kern w:val="0"/>
          <w:sz w:val="24"/>
          <w:szCs w:val="24"/>
        </w:rPr>
        <w:t>1</w:t>
      </w:r>
      <w:r>
        <w:rPr>
          <w:rFonts w:hint="eastAsia" w:ascii="宋体" w:hAnsi="宋体" w:cs="宋体"/>
          <w:color w:val="000000"/>
          <w:kern w:val="0"/>
          <w:sz w:val="24"/>
          <w:szCs w:val="24"/>
        </w:rPr>
        <w:t>）</w:t>
      </w:r>
      <w:r>
        <w:rPr>
          <w:rFonts w:ascii="宋体" w:hAnsi="宋体" w:cs="宋体"/>
          <w:color w:val="000000"/>
          <w:kern w:val="0"/>
          <w:sz w:val="24"/>
          <w:szCs w:val="24"/>
        </w:rPr>
        <w:t>《上海交通大学</w:t>
      </w:r>
      <w:r>
        <w:rPr>
          <w:rFonts w:hint="eastAsia" w:ascii="宋体" w:hAnsi="宋体" w:cs="宋体"/>
          <w:color w:val="000000"/>
          <w:kern w:val="0"/>
          <w:sz w:val="24"/>
          <w:szCs w:val="24"/>
        </w:rPr>
        <w:t>2</w:t>
      </w:r>
      <w:r>
        <w:rPr>
          <w:rFonts w:ascii="宋体" w:hAnsi="宋体" w:cs="宋体"/>
          <w:color w:val="000000"/>
          <w:kern w:val="0"/>
          <w:sz w:val="24"/>
          <w:szCs w:val="24"/>
        </w:rPr>
        <w:t>02</w:t>
      </w:r>
      <w:r>
        <w:rPr>
          <w:rFonts w:hint="eastAsia" w:ascii="宋体" w:hAnsi="宋体" w:cs="宋体"/>
          <w:color w:val="000000"/>
          <w:kern w:val="0"/>
          <w:sz w:val="24"/>
          <w:szCs w:val="24"/>
        </w:rPr>
        <w:t>6年攻读</w:t>
      </w:r>
      <w:r>
        <w:rPr>
          <w:rFonts w:ascii="宋体" w:hAnsi="宋体" w:cs="宋体"/>
          <w:color w:val="000000"/>
          <w:kern w:val="0"/>
          <w:sz w:val="24"/>
          <w:szCs w:val="24"/>
        </w:rPr>
        <w:t>博士学位研究生报</w:t>
      </w:r>
      <w:r>
        <w:rPr>
          <w:rFonts w:hint="eastAsia" w:ascii="宋体" w:hAnsi="宋体" w:cs="宋体"/>
          <w:color w:val="000000"/>
          <w:kern w:val="0"/>
          <w:sz w:val="24"/>
          <w:szCs w:val="24"/>
        </w:rPr>
        <w:t>名</w:t>
      </w:r>
      <w:r>
        <w:rPr>
          <w:rFonts w:ascii="宋体" w:hAnsi="宋体" w:cs="宋体"/>
          <w:color w:val="000000"/>
          <w:kern w:val="0"/>
          <w:sz w:val="24"/>
          <w:szCs w:val="24"/>
        </w:rPr>
        <w:t>登记表》；</w:t>
      </w:r>
    </w:p>
    <w:p w14:paraId="6CD25AEE">
      <w:pPr>
        <w:spacing w:line="360" w:lineRule="auto"/>
        <w:jc w:val="left"/>
        <w:rPr>
          <w:rFonts w:ascii="宋体" w:hAnsi="宋体" w:cs="宋体"/>
          <w:color w:val="000000"/>
          <w:kern w:val="0"/>
          <w:sz w:val="24"/>
          <w:szCs w:val="24"/>
        </w:rPr>
      </w:pPr>
      <w:r>
        <w:rPr>
          <w:rFonts w:hint="eastAsia" w:ascii="宋体" w:hAnsi="宋体" w:cs="宋体"/>
          <w:color w:val="000000"/>
          <w:kern w:val="0"/>
          <w:sz w:val="24"/>
          <w:szCs w:val="24"/>
        </w:rPr>
        <w:t>（2）</w:t>
      </w:r>
      <w:r>
        <w:rPr>
          <w:rFonts w:ascii="宋体" w:hAnsi="宋体" w:cs="宋体"/>
          <w:color w:val="000000"/>
          <w:kern w:val="0"/>
          <w:sz w:val="24"/>
          <w:szCs w:val="24"/>
        </w:rPr>
        <w:t xml:space="preserve"> 加盖公章的硕士成绩单原件；</w:t>
      </w:r>
    </w:p>
    <w:p w14:paraId="01120CD5">
      <w:pPr>
        <w:spacing w:line="360" w:lineRule="auto"/>
        <w:jc w:val="left"/>
        <w:rPr>
          <w:rFonts w:ascii="宋体" w:hAnsi="宋体" w:cs="宋体"/>
          <w:color w:val="000000"/>
          <w:kern w:val="0"/>
          <w:sz w:val="24"/>
          <w:szCs w:val="24"/>
        </w:rPr>
      </w:pPr>
      <w:r>
        <w:rPr>
          <w:rFonts w:hint="eastAsia" w:ascii="宋体" w:hAnsi="宋体" w:cs="宋体"/>
          <w:color w:val="000000"/>
          <w:kern w:val="0"/>
          <w:sz w:val="24"/>
          <w:szCs w:val="24"/>
        </w:rPr>
        <w:t>（3）</w:t>
      </w:r>
      <w:r>
        <w:rPr>
          <w:rFonts w:ascii="宋体" w:hAnsi="宋体" w:cs="宋体"/>
          <w:color w:val="000000"/>
          <w:kern w:val="0"/>
          <w:sz w:val="24"/>
          <w:szCs w:val="24"/>
        </w:rPr>
        <w:t>应届硕士生学生证（验原件）和《教育部学籍在线验证报告》；往届硕士生最高学历、学位证书（验原件）和《中国高等教育学位在线验证报告》</w:t>
      </w:r>
      <w:r>
        <w:rPr>
          <w:rFonts w:hint="eastAsia" w:ascii="宋体" w:hAnsi="宋体" w:cs="宋体"/>
          <w:color w:val="000000"/>
          <w:kern w:val="0"/>
          <w:sz w:val="24"/>
          <w:szCs w:val="24"/>
        </w:rPr>
        <w:t>；</w:t>
      </w:r>
      <w:r>
        <w:rPr>
          <w:rFonts w:ascii="宋体" w:hAnsi="宋体" w:cs="宋体"/>
          <w:color w:val="000000"/>
          <w:kern w:val="0"/>
          <w:sz w:val="24"/>
          <w:szCs w:val="24"/>
        </w:rPr>
        <w:t>持境外学历、学位证书报考者，须提交教育部留学服务中心出具的《国外学历学位认证书》；</w:t>
      </w:r>
    </w:p>
    <w:p w14:paraId="425D3827">
      <w:pPr>
        <w:spacing w:line="360" w:lineRule="auto"/>
        <w:jc w:val="left"/>
        <w:rPr>
          <w:rFonts w:ascii="宋体" w:hAnsi="宋体" w:cs="宋体"/>
          <w:color w:val="000000"/>
          <w:kern w:val="0"/>
          <w:sz w:val="24"/>
          <w:szCs w:val="24"/>
        </w:rPr>
      </w:pPr>
      <w:r>
        <w:rPr>
          <w:rFonts w:hint="eastAsia" w:ascii="宋体" w:hAnsi="宋体" w:cs="宋体"/>
          <w:color w:val="000000"/>
          <w:kern w:val="0"/>
          <w:sz w:val="24"/>
          <w:szCs w:val="24"/>
        </w:rPr>
        <w:t>（4）</w:t>
      </w:r>
      <w:r>
        <w:rPr>
          <w:rFonts w:ascii="宋体" w:hAnsi="宋体" w:cs="宋体"/>
          <w:color w:val="000000"/>
          <w:kern w:val="0"/>
          <w:sz w:val="24"/>
          <w:szCs w:val="24"/>
        </w:rPr>
        <w:t>本人第二代居民身份证（验原件）；</w:t>
      </w:r>
    </w:p>
    <w:p w14:paraId="1727529E">
      <w:pPr>
        <w:spacing w:line="360" w:lineRule="auto"/>
        <w:jc w:val="left"/>
        <w:rPr>
          <w:rFonts w:ascii="宋体" w:hAnsi="宋体" w:cs="宋体"/>
          <w:color w:val="000000"/>
          <w:kern w:val="0"/>
          <w:sz w:val="24"/>
          <w:szCs w:val="24"/>
        </w:rPr>
      </w:pPr>
      <w:r>
        <w:rPr>
          <w:rFonts w:hint="eastAsia" w:ascii="宋体" w:hAnsi="宋体" w:cs="宋体"/>
          <w:color w:val="000000"/>
          <w:kern w:val="0"/>
          <w:sz w:val="24"/>
          <w:szCs w:val="24"/>
        </w:rPr>
        <w:t>（5）已发表CSSCI论文期刊</w:t>
      </w:r>
      <w:r>
        <w:rPr>
          <w:rFonts w:ascii="宋体" w:hAnsi="宋体" w:cs="宋体"/>
          <w:color w:val="000000"/>
          <w:kern w:val="0"/>
          <w:sz w:val="24"/>
          <w:szCs w:val="24"/>
        </w:rPr>
        <w:t>（验原件）；</w:t>
      </w:r>
    </w:p>
    <w:p w14:paraId="13B1664D">
      <w:pPr>
        <w:spacing w:line="360" w:lineRule="auto"/>
        <w:jc w:val="left"/>
        <w:rPr>
          <w:rFonts w:ascii="宋体" w:hAnsi="宋体" w:cs="宋体"/>
          <w:color w:val="000000"/>
          <w:kern w:val="0"/>
          <w:sz w:val="24"/>
          <w:szCs w:val="24"/>
        </w:rPr>
      </w:pPr>
      <w:r>
        <w:rPr>
          <w:rFonts w:hint="eastAsia" w:ascii="宋体" w:hAnsi="宋体" w:cs="宋体"/>
          <w:color w:val="000000"/>
          <w:kern w:val="0"/>
          <w:sz w:val="24"/>
          <w:szCs w:val="24"/>
        </w:rPr>
        <w:t>（6）</w:t>
      </w:r>
      <w:r>
        <w:rPr>
          <w:rFonts w:ascii="宋体" w:hAnsi="宋体" w:cs="宋体"/>
          <w:color w:val="000000"/>
          <w:kern w:val="0"/>
          <w:sz w:val="24"/>
          <w:szCs w:val="24"/>
        </w:rPr>
        <w:t>外语水平证明材料（全国大学英语六级证书、新TOEFL成绩单、IELTS成绩单、全英文授课学位项目学位证书等，验原件）；</w:t>
      </w:r>
    </w:p>
    <w:p w14:paraId="08E845B8">
      <w:pPr>
        <w:spacing w:line="360" w:lineRule="auto"/>
        <w:jc w:val="left"/>
        <w:rPr>
          <w:rFonts w:ascii="宋体" w:hAnsi="宋体" w:cs="宋体"/>
          <w:color w:val="000000"/>
          <w:kern w:val="0"/>
          <w:sz w:val="24"/>
          <w:szCs w:val="24"/>
        </w:rPr>
      </w:pPr>
      <w:r>
        <w:rPr>
          <w:rFonts w:ascii="宋体" w:hAnsi="宋体" w:cs="宋体"/>
          <w:color w:val="000000"/>
          <w:kern w:val="0"/>
          <w:sz w:val="24"/>
          <w:szCs w:val="24"/>
        </w:rPr>
        <w:t>  （1）、（2）两项</w:t>
      </w:r>
      <w:r>
        <w:rPr>
          <w:rFonts w:hint="eastAsia" w:ascii="宋体" w:hAnsi="宋体" w:cs="宋体"/>
          <w:color w:val="000000"/>
          <w:kern w:val="0"/>
          <w:sz w:val="24"/>
          <w:szCs w:val="24"/>
        </w:rPr>
        <w:t>材料已邮寄原件者</w:t>
      </w:r>
      <w:r>
        <w:rPr>
          <w:rFonts w:ascii="宋体" w:hAnsi="宋体" w:cs="宋体"/>
          <w:color w:val="000000"/>
          <w:kern w:val="0"/>
          <w:sz w:val="24"/>
          <w:szCs w:val="24"/>
        </w:rPr>
        <w:t>无需</w:t>
      </w:r>
      <w:r>
        <w:rPr>
          <w:rFonts w:hint="eastAsia" w:ascii="宋体" w:hAnsi="宋体" w:cs="宋体"/>
          <w:color w:val="000000"/>
          <w:kern w:val="0"/>
          <w:sz w:val="24"/>
          <w:szCs w:val="24"/>
        </w:rPr>
        <w:t>重复提供。</w:t>
      </w:r>
      <w:r>
        <w:rPr>
          <w:rFonts w:ascii="宋体" w:hAnsi="宋体" w:cs="宋体"/>
          <w:color w:val="000000"/>
          <w:kern w:val="0"/>
          <w:sz w:val="24"/>
          <w:szCs w:val="24"/>
        </w:rPr>
        <w:t>考生须保证上述材料的真实、准确，对不符合报考条件或提供虚假信息的考生，一律取消</w:t>
      </w:r>
      <w:r>
        <w:rPr>
          <w:rFonts w:hint="eastAsia" w:ascii="宋体" w:hAnsi="宋体" w:cs="宋体"/>
          <w:color w:val="000000"/>
          <w:kern w:val="0"/>
          <w:sz w:val="24"/>
          <w:szCs w:val="24"/>
        </w:rPr>
        <w:t>考核</w:t>
      </w:r>
      <w:r>
        <w:rPr>
          <w:rFonts w:ascii="宋体" w:hAnsi="宋体" w:cs="宋体"/>
          <w:color w:val="000000"/>
          <w:kern w:val="0"/>
          <w:sz w:val="24"/>
          <w:szCs w:val="24"/>
        </w:rPr>
        <w:t>录取资格。</w:t>
      </w:r>
    </w:p>
    <w:p w14:paraId="466A60AD">
      <w:pPr>
        <w:jc w:val="lef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</w:t>
      </w:r>
      <w:r>
        <w:rPr>
          <w:rFonts w:hint="eastAsia"/>
          <w:b/>
          <w:bCs/>
          <w:sz w:val="28"/>
          <w:szCs w:val="28"/>
        </w:rPr>
        <w:t>、专业笔试</w:t>
      </w:r>
    </w:p>
    <w:tbl>
      <w:tblPr>
        <w:tblStyle w:val="6"/>
        <w:tblW w:w="906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96"/>
        <w:gridCol w:w="1806"/>
        <w:gridCol w:w="2897"/>
        <w:gridCol w:w="2268"/>
      </w:tblGrid>
      <w:tr w14:paraId="6CB144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2" w:hRule="atLeast"/>
          <w:jc w:val="center"/>
        </w:trPr>
        <w:tc>
          <w:tcPr>
            <w:tcW w:w="2096" w:type="dxa"/>
            <w:shd w:val="clear" w:color="auto" w:fill="auto"/>
            <w:vAlign w:val="center"/>
          </w:tcPr>
          <w:p w14:paraId="5CA02F7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考试科目</w:t>
            </w:r>
            <w:r>
              <w:rPr>
                <w:b/>
                <w:bCs/>
                <w:sz w:val="24"/>
                <w:szCs w:val="24"/>
              </w:rPr>
              <w:t>名称</w:t>
            </w:r>
          </w:p>
        </w:tc>
        <w:tc>
          <w:tcPr>
            <w:tcW w:w="1806" w:type="dxa"/>
            <w:shd w:val="clear" w:color="auto" w:fill="auto"/>
            <w:vAlign w:val="center"/>
          </w:tcPr>
          <w:p w14:paraId="19AF514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学科</w:t>
            </w:r>
          </w:p>
        </w:tc>
        <w:tc>
          <w:tcPr>
            <w:tcW w:w="2897" w:type="dxa"/>
          </w:tcPr>
          <w:p w14:paraId="5897814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考试</w:t>
            </w:r>
            <w:r>
              <w:rPr>
                <w:rFonts w:hint="eastAsia"/>
                <w:b/>
                <w:bCs/>
                <w:sz w:val="24"/>
                <w:szCs w:val="24"/>
              </w:rPr>
              <w:t>时间</w:t>
            </w:r>
          </w:p>
        </w:tc>
        <w:tc>
          <w:tcPr>
            <w:tcW w:w="2268" w:type="dxa"/>
          </w:tcPr>
          <w:p w14:paraId="7799FCF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考试</w:t>
            </w:r>
            <w:r>
              <w:rPr>
                <w:rFonts w:hint="eastAsia"/>
                <w:b/>
                <w:bCs/>
                <w:sz w:val="24"/>
                <w:szCs w:val="24"/>
              </w:rPr>
              <w:t>地点</w:t>
            </w:r>
          </w:p>
        </w:tc>
      </w:tr>
      <w:tr w14:paraId="1809FD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  <w:jc w:val="center"/>
        </w:trPr>
        <w:tc>
          <w:tcPr>
            <w:tcW w:w="2096" w:type="dxa"/>
            <w:vMerge w:val="restart"/>
            <w:shd w:val="clear" w:color="auto" w:fill="auto"/>
            <w:vAlign w:val="center"/>
          </w:tcPr>
          <w:p w14:paraId="4A856CF0">
            <w:pPr>
              <w:jc w:val="center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专业基础知识测试</w:t>
            </w:r>
          </w:p>
        </w:tc>
        <w:tc>
          <w:tcPr>
            <w:tcW w:w="1806" w:type="dxa"/>
            <w:shd w:val="clear" w:color="auto" w:fill="auto"/>
            <w:vAlign w:val="center"/>
          </w:tcPr>
          <w:p w14:paraId="4E1CF862">
            <w:pPr>
              <w:jc w:val="center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中国语言文学</w:t>
            </w:r>
          </w:p>
        </w:tc>
        <w:tc>
          <w:tcPr>
            <w:tcW w:w="2897" w:type="dxa"/>
            <w:vMerge w:val="restart"/>
            <w:vAlign w:val="center"/>
          </w:tcPr>
          <w:p w14:paraId="14C4F929">
            <w:pPr>
              <w:jc w:val="center"/>
              <w:rPr>
                <w:bCs/>
                <w:szCs w:val="21"/>
              </w:rPr>
            </w:pPr>
            <w:r>
              <w:rPr>
                <w:bCs/>
                <w:szCs w:val="21"/>
              </w:rPr>
              <w:t>202</w:t>
            </w:r>
            <w:r>
              <w:rPr>
                <w:rFonts w:hint="eastAsia"/>
                <w:bCs/>
                <w:szCs w:val="21"/>
              </w:rPr>
              <w:t>6年1月4日（周日）</w:t>
            </w:r>
          </w:p>
          <w:p w14:paraId="113BE6EC">
            <w:pPr>
              <w:jc w:val="center"/>
              <w:rPr>
                <w:bCs/>
                <w:szCs w:val="21"/>
              </w:rPr>
            </w:pPr>
            <w:r>
              <w:rPr>
                <w:bCs/>
                <w:szCs w:val="21"/>
              </w:rPr>
              <w:t>8:30</w:t>
            </w:r>
            <w:r>
              <w:rPr>
                <w:rFonts w:hint="eastAsia"/>
                <w:bCs/>
                <w:szCs w:val="21"/>
              </w:rPr>
              <w:t>—1</w:t>
            </w:r>
            <w:r>
              <w:rPr>
                <w:bCs/>
                <w:szCs w:val="21"/>
              </w:rPr>
              <w:t>1:30</w:t>
            </w:r>
          </w:p>
        </w:tc>
        <w:tc>
          <w:tcPr>
            <w:tcW w:w="2268" w:type="dxa"/>
            <w:vMerge w:val="restart"/>
            <w:vAlign w:val="center"/>
          </w:tcPr>
          <w:p w14:paraId="330162CB">
            <w:pPr>
              <w:jc w:val="center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东上院307、308教室</w:t>
            </w:r>
          </w:p>
        </w:tc>
      </w:tr>
      <w:tr w14:paraId="7D0B76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  <w:jc w:val="center"/>
        </w:trPr>
        <w:tc>
          <w:tcPr>
            <w:tcW w:w="2096" w:type="dxa"/>
            <w:vMerge w:val="continue"/>
            <w:shd w:val="clear" w:color="auto" w:fill="auto"/>
            <w:vAlign w:val="center"/>
          </w:tcPr>
          <w:p w14:paraId="73C8B6FE">
            <w:pPr>
              <w:jc w:val="center"/>
              <w:rPr>
                <w:bCs/>
                <w:szCs w:val="21"/>
              </w:rPr>
            </w:pPr>
          </w:p>
        </w:tc>
        <w:tc>
          <w:tcPr>
            <w:tcW w:w="1806" w:type="dxa"/>
            <w:shd w:val="clear" w:color="auto" w:fill="auto"/>
            <w:vAlign w:val="center"/>
          </w:tcPr>
          <w:p w14:paraId="76211419">
            <w:pPr>
              <w:jc w:val="center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中国史</w:t>
            </w:r>
          </w:p>
        </w:tc>
        <w:tc>
          <w:tcPr>
            <w:tcW w:w="2897" w:type="dxa"/>
            <w:vMerge w:val="continue"/>
            <w:vAlign w:val="center"/>
          </w:tcPr>
          <w:p w14:paraId="6E0CFD96">
            <w:pPr>
              <w:jc w:val="center"/>
              <w:rPr>
                <w:bCs/>
                <w:szCs w:val="21"/>
              </w:rPr>
            </w:pPr>
          </w:p>
        </w:tc>
        <w:tc>
          <w:tcPr>
            <w:tcW w:w="2268" w:type="dxa"/>
            <w:vMerge w:val="continue"/>
            <w:vAlign w:val="center"/>
          </w:tcPr>
          <w:p w14:paraId="03696319">
            <w:pPr>
              <w:jc w:val="center"/>
              <w:rPr>
                <w:bCs/>
                <w:szCs w:val="21"/>
              </w:rPr>
            </w:pPr>
          </w:p>
        </w:tc>
      </w:tr>
      <w:tr w14:paraId="0FF7E2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  <w:jc w:val="center"/>
        </w:trPr>
        <w:tc>
          <w:tcPr>
            <w:tcW w:w="2096" w:type="dxa"/>
            <w:vMerge w:val="continue"/>
            <w:shd w:val="clear" w:color="auto" w:fill="auto"/>
            <w:vAlign w:val="center"/>
          </w:tcPr>
          <w:p w14:paraId="31AA43EA">
            <w:pPr>
              <w:jc w:val="center"/>
              <w:rPr>
                <w:bCs/>
                <w:szCs w:val="21"/>
              </w:rPr>
            </w:pPr>
          </w:p>
        </w:tc>
        <w:tc>
          <w:tcPr>
            <w:tcW w:w="1806" w:type="dxa"/>
            <w:shd w:val="clear" w:color="auto" w:fill="auto"/>
            <w:vAlign w:val="center"/>
          </w:tcPr>
          <w:p w14:paraId="67A66184">
            <w:pPr>
              <w:jc w:val="center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科学技术史</w:t>
            </w:r>
          </w:p>
        </w:tc>
        <w:tc>
          <w:tcPr>
            <w:tcW w:w="2897" w:type="dxa"/>
            <w:vMerge w:val="continue"/>
            <w:vAlign w:val="center"/>
          </w:tcPr>
          <w:p w14:paraId="247997CD">
            <w:pPr>
              <w:jc w:val="center"/>
              <w:rPr>
                <w:bCs/>
                <w:szCs w:val="21"/>
              </w:rPr>
            </w:pPr>
          </w:p>
        </w:tc>
        <w:tc>
          <w:tcPr>
            <w:tcW w:w="2268" w:type="dxa"/>
            <w:vMerge w:val="continue"/>
            <w:vAlign w:val="center"/>
          </w:tcPr>
          <w:p w14:paraId="4E35E056">
            <w:pPr>
              <w:jc w:val="center"/>
              <w:rPr>
                <w:bCs/>
                <w:szCs w:val="21"/>
              </w:rPr>
            </w:pPr>
          </w:p>
        </w:tc>
      </w:tr>
    </w:tbl>
    <w:p w14:paraId="1B4B2A54">
      <w:pPr>
        <w:jc w:val="lef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</w:t>
      </w:r>
      <w:r>
        <w:rPr>
          <w:rFonts w:hint="eastAsia"/>
          <w:b/>
          <w:bCs/>
          <w:sz w:val="28"/>
          <w:szCs w:val="28"/>
        </w:rPr>
        <w:t>、综合面试</w:t>
      </w:r>
    </w:p>
    <w:tbl>
      <w:tblPr>
        <w:tblStyle w:val="6"/>
        <w:tblW w:w="892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1"/>
        <w:gridCol w:w="1595"/>
        <w:gridCol w:w="2693"/>
        <w:gridCol w:w="2127"/>
      </w:tblGrid>
      <w:tr w14:paraId="443560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  <w:jc w:val="center"/>
        </w:trPr>
        <w:tc>
          <w:tcPr>
            <w:tcW w:w="2511" w:type="dxa"/>
            <w:shd w:val="clear" w:color="auto" w:fill="auto"/>
            <w:vAlign w:val="center"/>
          </w:tcPr>
          <w:p w14:paraId="270C688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内容</w:t>
            </w:r>
          </w:p>
        </w:tc>
        <w:tc>
          <w:tcPr>
            <w:tcW w:w="1595" w:type="dxa"/>
            <w:shd w:val="clear" w:color="auto" w:fill="auto"/>
            <w:vAlign w:val="center"/>
          </w:tcPr>
          <w:p w14:paraId="0EF6B4E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学科</w:t>
            </w:r>
          </w:p>
        </w:tc>
        <w:tc>
          <w:tcPr>
            <w:tcW w:w="2693" w:type="dxa"/>
          </w:tcPr>
          <w:p w14:paraId="092F406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时间</w:t>
            </w:r>
          </w:p>
        </w:tc>
        <w:tc>
          <w:tcPr>
            <w:tcW w:w="2127" w:type="dxa"/>
          </w:tcPr>
          <w:p w14:paraId="7D19FE25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地点</w:t>
            </w:r>
          </w:p>
        </w:tc>
      </w:tr>
      <w:tr w14:paraId="47CF4A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  <w:jc w:val="center"/>
        </w:trPr>
        <w:tc>
          <w:tcPr>
            <w:tcW w:w="2511" w:type="dxa"/>
            <w:vMerge w:val="restart"/>
            <w:shd w:val="clear" w:color="auto" w:fill="auto"/>
            <w:vAlign w:val="center"/>
          </w:tcPr>
          <w:p w14:paraId="3A2C7E87">
            <w:pPr>
              <w:jc w:val="left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学习动机、个人品性、</w:t>
            </w:r>
            <w:r>
              <w:rPr>
                <w:bCs/>
                <w:szCs w:val="21"/>
              </w:rPr>
              <w:t>学术</w:t>
            </w:r>
            <w:r>
              <w:rPr>
                <w:rFonts w:hint="eastAsia"/>
                <w:bCs/>
                <w:szCs w:val="21"/>
              </w:rPr>
              <w:t>经历、创新能力、科研潜力</w:t>
            </w:r>
            <w:r>
              <w:rPr>
                <w:bCs/>
                <w:szCs w:val="21"/>
              </w:rPr>
              <w:t>、</w:t>
            </w:r>
            <w:r>
              <w:rPr>
                <w:rFonts w:hint="eastAsia"/>
                <w:bCs/>
                <w:szCs w:val="21"/>
              </w:rPr>
              <w:t>外语能力等</w:t>
            </w:r>
          </w:p>
        </w:tc>
        <w:tc>
          <w:tcPr>
            <w:tcW w:w="1595" w:type="dxa"/>
            <w:shd w:val="clear" w:color="auto" w:fill="auto"/>
            <w:vAlign w:val="center"/>
          </w:tcPr>
          <w:p w14:paraId="31AB4680">
            <w:pPr>
              <w:jc w:val="left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中国语言文学</w:t>
            </w:r>
          </w:p>
        </w:tc>
        <w:tc>
          <w:tcPr>
            <w:tcW w:w="2693" w:type="dxa"/>
            <w:vAlign w:val="center"/>
          </w:tcPr>
          <w:p w14:paraId="79607149">
            <w:pPr>
              <w:jc w:val="left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20</w:t>
            </w:r>
            <w:r>
              <w:rPr>
                <w:bCs/>
                <w:szCs w:val="21"/>
              </w:rPr>
              <w:t>2</w:t>
            </w:r>
            <w:r>
              <w:rPr>
                <w:rFonts w:hint="eastAsia"/>
                <w:bCs/>
                <w:szCs w:val="21"/>
              </w:rPr>
              <w:t>6年1月4日（周日）</w:t>
            </w:r>
          </w:p>
          <w:p w14:paraId="32FE5DB7">
            <w:pPr>
              <w:jc w:val="left"/>
              <w:rPr>
                <w:bCs/>
                <w:szCs w:val="21"/>
              </w:rPr>
            </w:pPr>
            <w:r>
              <w:rPr>
                <w:bCs/>
                <w:szCs w:val="21"/>
              </w:rPr>
              <w:t>1</w:t>
            </w:r>
            <w:r>
              <w:rPr>
                <w:rFonts w:hint="eastAsia"/>
                <w:bCs/>
                <w:szCs w:val="21"/>
              </w:rPr>
              <w:t>6：</w:t>
            </w:r>
            <w:r>
              <w:rPr>
                <w:bCs/>
                <w:szCs w:val="21"/>
              </w:rPr>
              <w:t>00</w:t>
            </w:r>
            <w:r>
              <w:rPr>
                <w:rFonts w:hint="eastAsia"/>
                <w:bCs/>
                <w:szCs w:val="21"/>
              </w:rPr>
              <w:t>开始</w:t>
            </w:r>
          </w:p>
        </w:tc>
        <w:tc>
          <w:tcPr>
            <w:tcW w:w="2127" w:type="dxa"/>
            <w:vMerge w:val="restart"/>
            <w:vAlign w:val="center"/>
          </w:tcPr>
          <w:p w14:paraId="0C79EEB9">
            <w:pPr>
              <w:jc w:val="center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分组和地点另行通知</w:t>
            </w:r>
          </w:p>
        </w:tc>
      </w:tr>
      <w:tr w14:paraId="0BAA62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jc w:val="center"/>
        </w:trPr>
        <w:tc>
          <w:tcPr>
            <w:tcW w:w="2511" w:type="dxa"/>
            <w:vMerge w:val="continue"/>
            <w:shd w:val="clear" w:color="auto" w:fill="auto"/>
            <w:vAlign w:val="center"/>
          </w:tcPr>
          <w:p w14:paraId="19D6896C">
            <w:pPr>
              <w:jc w:val="left"/>
              <w:rPr>
                <w:bCs/>
                <w:szCs w:val="21"/>
              </w:rPr>
            </w:pPr>
          </w:p>
        </w:tc>
        <w:tc>
          <w:tcPr>
            <w:tcW w:w="1595" w:type="dxa"/>
            <w:shd w:val="clear" w:color="auto" w:fill="auto"/>
            <w:vAlign w:val="center"/>
          </w:tcPr>
          <w:p w14:paraId="5D5FAAAE">
            <w:pPr>
              <w:jc w:val="left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中国史</w:t>
            </w:r>
          </w:p>
        </w:tc>
        <w:tc>
          <w:tcPr>
            <w:tcW w:w="2693" w:type="dxa"/>
            <w:vMerge w:val="restart"/>
            <w:vAlign w:val="center"/>
          </w:tcPr>
          <w:p w14:paraId="3CFB0558">
            <w:pPr>
              <w:jc w:val="left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20</w:t>
            </w:r>
            <w:r>
              <w:rPr>
                <w:bCs/>
                <w:szCs w:val="21"/>
              </w:rPr>
              <w:t>2</w:t>
            </w:r>
            <w:r>
              <w:rPr>
                <w:rFonts w:hint="eastAsia"/>
                <w:bCs/>
                <w:szCs w:val="21"/>
              </w:rPr>
              <w:t>6年1月5日（周一）</w:t>
            </w:r>
          </w:p>
          <w:p w14:paraId="3D1F17DF">
            <w:pPr>
              <w:jc w:val="left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8：3</w:t>
            </w:r>
            <w:r>
              <w:rPr>
                <w:bCs/>
                <w:szCs w:val="21"/>
              </w:rPr>
              <w:t>0</w:t>
            </w:r>
            <w:r>
              <w:rPr>
                <w:rFonts w:hint="eastAsia"/>
                <w:bCs/>
                <w:szCs w:val="21"/>
              </w:rPr>
              <w:t>开始</w:t>
            </w:r>
          </w:p>
        </w:tc>
        <w:tc>
          <w:tcPr>
            <w:tcW w:w="2127" w:type="dxa"/>
            <w:vMerge w:val="continue"/>
            <w:vAlign w:val="center"/>
          </w:tcPr>
          <w:p w14:paraId="20A4F20F">
            <w:pPr>
              <w:jc w:val="center"/>
              <w:rPr>
                <w:bCs/>
                <w:szCs w:val="21"/>
              </w:rPr>
            </w:pPr>
          </w:p>
        </w:tc>
      </w:tr>
      <w:tr w14:paraId="1976B5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2511" w:type="dxa"/>
            <w:vMerge w:val="continue"/>
            <w:shd w:val="clear" w:color="auto" w:fill="auto"/>
            <w:vAlign w:val="center"/>
          </w:tcPr>
          <w:p w14:paraId="567A27C6">
            <w:pPr>
              <w:jc w:val="left"/>
              <w:rPr>
                <w:bCs/>
                <w:szCs w:val="21"/>
              </w:rPr>
            </w:pPr>
          </w:p>
        </w:tc>
        <w:tc>
          <w:tcPr>
            <w:tcW w:w="1595" w:type="dxa"/>
            <w:shd w:val="clear" w:color="auto" w:fill="auto"/>
            <w:vAlign w:val="center"/>
          </w:tcPr>
          <w:p w14:paraId="6859019A">
            <w:pPr>
              <w:jc w:val="left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科学技术史</w:t>
            </w:r>
          </w:p>
        </w:tc>
        <w:tc>
          <w:tcPr>
            <w:tcW w:w="2693" w:type="dxa"/>
            <w:vMerge w:val="continue"/>
            <w:vAlign w:val="center"/>
          </w:tcPr>
          <w:p w14:paraId="6572BC77">
            <w:pPr>
              <w:jc w:val="left"/>
              <w:rPr>
                <w:bCs/>
                <w:szCs w:val="21"/>
              </w:rPr>
            </w:pPr>
          </w:p>
        </w:tc>
        <w:tc>
          <w:tcPr>
            <w:tcW w:w="2127" w:type="dxa"/>
            <w:vMerge w:val="continue"/>
            <w:vAlign w:val="center"/>
          </w:tcPr>
          <w:p w14:paraId="5E7AF683">
            <w:pPr>
              <w:jc w:val="center"/>
              <w:rPr>
                <w:bCs/>
                <w:szCs w:val="21"/>
              </w:rPr>
            </w:pPr>
          </w:p>
        </w:tc>
      </w:tr>
    </w:tbl>
    <w:p w14:paraId="03604D4E">
      <w:pPr>
        <w:pStyle w:val="11"/>
        <w:ind w:left="420" w:firstLine="0" w:firstLineChars="0"/>
        <w:jc w:val="left"/>
        <w:rPr>
          <w:b/>
          <w:bCs/>
          <w:sz w:val="30"/>
          <w:szCs w:val="30"/>
        </w:rPr>
      </w:pPr>
    </w:p>
    <w:p w14:paraId="598A58C9">
      <w:pPr>
        <w:pStyle w:val="11"/>
        <w:ind w:firstLine="0" w:firstLineChars="0"/>
        <w:jc w:val="left"/>
        <w:rPr>
          <w:b/>
          <w:bCs/>
          <w:sz w:val="30"/>
          <w:szCs w:val="30"/>
        </w:rPr>
      </w:pPr>
      <w:r>
        <w:rPr>
          <w:rFonts w:hint="eastAsia"/>
          <w:b/>
          <w:bCs/>
          <w:sz w:val="30"/>
          <w:szCs w:val="30"/>
        </w:rPr>
        <w:t>二、综合考核</w:t>
      </w:r>
      <w:r>
        <w:rPr>
          <w:b/>
          <w:bCs/>
          <w:sz w:val="30"/>
          <w:szCs w:val="30"/>
        </w:rPr>
        <w:t>内容</w:t>
      </w:r>
    </w:p>
    <w:p w14:paraId="553E7E76">
      <w:pPr>
        <w:spacing w:line="360" w:lineRule="auto"/>
        <w:jc w:val="left"/>
        <w:rPr>
          <w:rFonts w:ascii="宋体" w:hAnsi="宋体" w:cs="宋体"/>
          <w:color w:val="000000"/>
          <w:kern w:val="0"/>
          <w:sz w:val="24"/>
          <w:szCs w:val="24"/>
        </w:rPr>
      </w:pPr>
      <w:r>
        <w:rPr>
          <w:rFonts w:hint="eastAsia" w:ascii="宋体" w:hAnsi="宋体" w:cs="宋体"/>
          <w:color w:val="000000"/>
          <w:kern w:val="0"/>
          <w:sz w:val="24"/>
          <w:szCs w:val="24"/>
        </w:rPr>
        <w:t>综合考核由专业笔试、综合面试和导师评价三部分组成，总分300分。</w:t>
      </w:r>
    </w:p>
    <w:p w14:paraId="7AAA2C00">
      <w:pPr>
        <w:spacing w:line="360" w:lineRule="auto"/>
        <w:jc w:val="left"/>
        <w:rPr>
          <w:rFonts w:ascii="宋体" w:hAnsi="宋体" w:cs="宋体"/>
          <w:kern w:val="0"/>
          <w:sz w:val="24"/>
          <w:szCs w:val="24"/>
        </w:rPr>
      </w:pPr>
      <w:r>
        <w:rPr>
          <w:rFonts w:hint="eastAsia" w:ascii="宋体" w:hAnsi="宋体" w:cs="宋体"/>
          <w:color w:val="000000"/>
          <w:kern w:val="0"/>
          <w:sz w:val="24"/>
          <w:szCs w:val="24"/>
        </w:rPr>
        <w:t>（1）专业笔试，满分100分。按一级学科命题，主要考察申请者的专业基础知识，考试时间3小时；</w:t>
      </w:r>
      <w:r>
        <w:rPr>
          <w:rFonts w:hint="eastAsia" w:ascii="宋体" w:hAnsi="宋体" w:cs="宋体"/>
          <w:kern w:val="0"/>
          <w:sz w:val="24"/>
          <w:szCs w:val="24"/>
        </w:rPr>
        <w:t>笔试成绩合格（≥6</w:t>
      </w:r>
      <w:r>
        <w:rPr>
          <w:rFonts w:ascii="宋体" w:hAnsi="宋体" w:cs="宋体"/>
          <w:kern w:val="0"/>
          <w:sz w:val="24"/>
          <w:szCs w:val="24"/>
        </w:rPr>
        <w:t>0</w:t>
      </w:r>
      <w:r>
        <w:rPr>
          <w:rFonts w:hint="eastAsia" w:ascii="宋体" w:hAnsi="宋体" w:cs="宋体"/>
          <w:kern w:val="0"/>
          <w:sz w:val="24"/>
          <w:szCs w:val="24"/>
        </w:rPr>
        <w:t>分）者方可进入综合面试环节。</w:t>
      </w:r>
    </w:p>
    <w:p w14:paraId="699C58D4">
      <w:pPr>
        <w:spacing w:line="360" w:lineRule="auto"/>
        <w:jc w:val="left"/>
        <w:rPr>
          <w:rFonts w:ascii="宋体" w:hAnsi="宋体" w:cs="宋体"/>
          <w:color w:val="000000"/>
          <w:kern w:val="0"/>
          <w:sz w:val="24"/>
          <w:szCs w:val="24"/>
        </w:rPr>
      </w:pPr>
      <w:r>
        <w:rPr>
          <w:rFonts w:hint="eastAsia" w:ascii="宋体" w:hAnsi="宋体" w:cs="宋体"/>
          <w:color w:val="000000"/>
          <w:kern w:val="0"/>
          <w:sz w:val="24"/>
          <w:szCs w:val="24"/>
        </w:rPr>
        <w:t>（2）综合面试，满分100分。由各学科对申请者的知识背景、科研能力、学术水平和外语能力等进行综合面试，主要考查学生的科学素养、个人品性、创新能力和培养潜力等。每位考生的面试时间不少于30分钟。</w:t>
      </w:r>
    </w:p>
    <w:p w14:paraId="197B843B">
      <w:pPr>
        <w:spacing w:line="360" w:lineRule="auto"/>
        <w:jc w:val="left"/>
        <w:rPr>
          <w:rFonts w:ascii="宋体" w:hAnsi="宋体" w:cs="宋体"/>
          <w:color w:val="000000"/>
          <w:kern w:val="0"/>
          <w:sz w:val="24"/>
          <w:szCs w:val="24"/>
        </w:rPr>
      </w:pPr>
      <w:r>
        <w:rPr>
          <w:rFonts w:hint="eastAsia" w:ascii="宋体" w:hAnsi="宋体" w:cs="宋体"/>
          <w:color w:val="000000"/>
          <w:kern w:val="0"/>
          <w:sz w:val="24"/>
          <w:szCs w:val="24"/>
        </w:rPr>
        <w:t>（3）导师评价，满分100分。由导师对申请者的研究计划、科研潜质及专业知识等进行综合评定，并给出书面的评价成绩。</w:t>
      </w:r>
    </w:p>
    <w:p w14:paraId="639E361E">
      <w:pPr>
        <w:spacing w:line="360" w:lineRule="auto"/>
        <w:jc w:val="left"/>
        <w:rPr>
          <w:rFonts w:ascii="宋体" w:hAnsi="宋体" w:cs="宋体"/>
          <w:color w:val="000000"/>
          <w:kern w:val="0"/>
          <w:sz w:val="24"/>
          <w:szCs w:val="24"/>
        </w:rPr>
      </w:pPr>
    </w:p>
    <w:p w14:paraId="7397B292">
      <w:pPr>
        <w:pStyle w:val="11"/>
        <w:ind w:firstLine="0" w:firstLineChars="0"/>
        <w:jc w:val="left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>三</w:t>
      </w:r>
      <w:r>
        <w:rPr>
          <w:rFonts w:hint="eastAsia"/>
          <w:b/>
          <w:bCs/>
          <w:sz w:val="30"/>
          <w:szCs w:val="30"/>
        </w:rPr>
        <w:t>、考核结果及录取</w:t>
      </w:r>
    </w:p>
    <w:p w14:paraId="5D6F3D35">
      <w:pPr>
        <w:widowControl/>
        <w:spacing w:before="75" w:after="75"/>
        <w:ind w:firstLine="720" w:firstLineChars="300"/>
        <w:jc w:val="left"/>
        <w:rPr>
          <w:rFonts w:ascii="Arial" w:hAnsi="Arial" w:cs="Arial"/>
          <w:color w:val="000000"/>
          <w:kern w:val="0"/>
          <w:sz w:val="24"/>
          <w:szCs w:val="24"/>
        </w:rPr>
      </w:pPr>
      <w:r>
        <w:rPr>
          <w:rFonts w:hint="eastAsia" w:ascii="宋体" w:hAnsi="宋体" w:cs="Arial"/>
          <w:color w:val="000000"/>
          <w:kern w:val="0"/>
          <w:sz w:val="24"/>
          <w:szCs w:val="24"/>
        </w:rPr>
        <w:t>1、一级学科内按报考导师总成绩排序，根据招生名额，从高分至低分依次录取，额满为止；原则上每位导师最多1个招生名额。</w:t>
      </w:r>
    </w:p>
    <w:p w14:paraId="0F8C0388">
      <w:pPr>
        <w:widowControl/>
        <w:spacing w:before="75" w:after="75" w:line="360" w:lineRule="atLeast"/>
        <w:ind w:left="720"/>
        <w:jc w:val="left"/>
        <w:rPr>
          <w:rFonts w:ascii="Arial" w:hAnsi="Arial" w:cs="Arial"/>
          <w:color w:val="000000"/>
          <w:kern w:val="0"/>
          <w:sz w:val="24"/>
          <w:szCs w:val="24"/>
        </w:rPr>
      </w:pPr>
      <w:r>
        <w:rPr>
          <w:rFonts w:hint="eastAsia" w:ascii="宋体" w:hAnsi="宋体" w:cs="Arial"/>
          <w:color w:val="000000"/>
          <w:kern w:val="0"/>
          <w:sz w:val="24"/>
          <w:szCs w:val="24"/>
        </w:rPr>
        <w:t>如遇名额不足，则按一级学科内考生笔试和面试总成绩排序，从高分至低分依次录取，额满为止；</w:t>
      </w:r>
    </w:p>
    <w:p w14:paraId="097033C1">
      <w:pPr>
        <w:widowControl/>
        <w:spacing w:before="75" w:after="75" w:line="360" w:lineRule="atLeast"/>
        <w:ind w:left="720"/>
        <w:jc w:val="left"/>
        <w:rPr>
          <w:rFonts w:ascii="Arial" w:hAnsi="Arial" w:cs="Arial"/>
          <w:color w:val="000000"/>
          <w:kern w:val="0"/>
          <w:sz w:val="24"/>
          <w:szCs w:val="24"/>
        </w:rPr>
      </w:pPr>
      <w:r>
        <w:rPr>
          <w:rFonts w:hint="eastAsia" w:ascii="宋体" w:hAnsi="宋体" w:cs="Arial"/>
          <w:color w:val="000000"/>
          <w:kern w:val="0"/>
          <w:sz w:val="24"/>
          <w:szCs w:val="24"/>
        </w:rPr>
        <w:t>如第二批报名截止前第一批拟录取考生放弃入学资格，名额自动纳入第二批招生中；如第二批复试结束后拟录取考生放弃资格，根据导师个人招生情况和两批考生复试成绩综合评价决定。</w:t>
      </w:r>
    </w:p>
    <w:p w14:paraId="307E2132">
      <w:pPr>
        <w:widowControl/>
        <w:spacing w:before="75" w:after="75" w:line="360" w:lineRule="atLeast"/>
        <w:ind w:left="720"/>
        <w:jc w:val="left"/>
        <w:rPr>
          <w:rFonts w:ascii="Arial" w:hAnsi="Arial" w:cs="Arial"/>
          <w:color w:val="000000"/>
          <w:kern w:val="0"/>
          <w:sz w:val="24"/>
          <w:szCs w:val="24"/>
        </w:rPr>
      </w:pPr>
      <w:r>
        <w:rPr>
          <w:rFonts w:hint="eastAsia" w:ascii="宋体" w:hAnsi="宋体" w:cs="Arial"/>
          <w:color w:val="000000"/>
          <w:kern w:val="0"/>
          <w:sz w:val="24"/>
          <w:szCs w:val="24"/>
        </w:rPr>
        <w:t>2、单科成绩低于60分或总分低于180分者不予录取。</w:t>
      </w:r>
    </w:p>
    <w:p w14:paraId="71CC49D6">
      <w:pPr>
        <w:widowControl/>
        <w:spacing w:before="75" w:after="75" w:line="360" w:lineRule="atLeast"/>
        <w:ind w:firstLine="360"/>
        <w:jc w:val="left"/>
        <w:rPr>
          <w:rFonts w:ascii="Arial" w:hAnsi="Arial" w:cs="Arial"/>
          <w:color w:val="000000"/>
          <w:kern w:val="0"/>
          <w:sz w:val="24"/>
          <w:szCs w:val="24"/>
        </w:rPr>
      </w:pPr>
      <w:r>
        <w:rPr>
          <w:rFonts w:hint="eastAsia" w:ascii="宋体" w:hAnsi="宋体" w:cs="Arial"/>
          <w:color w:val="000000"/>
          <w:kern w:val="0"/>
          <w:sz w:val="24"/>
          <w:szCs w:val="24"/>
        </w:rPr>
        <w:t>  3、政审或体检不合格者，将取消拟录取资格。</w:t>
      </w:r>
    </w:p>
    <w:p w14:paraId="177B6B03">
      <w:pPr>
        <w:widowControl/>
        <w:spacing w:before="75" w:after="75" w:line="360" w:lineRule="atLeast"/>
        <w:ind w:firstLine="360"/>
        <w:jc w:val="left"/>
        <w:rPr>
          <w:rFonts w:ascii="宋体" w:hAnsi="宋体" w:cs="宋体"/>
          <w:color w:val="000000"/>
          <w:kern w:val="0"/>
          <w:sz w:val="24"/>
          <w:szCs w:val="24"/>
        </w:rPr>
      </w:pPr>
      <w:r>
        <w:rPr>
          <w:rFonts w:hint="eastAsia" w:ascii="宋体" w:hAnsi="宋体" w:cs="Arial"/>
          <w:color w:val="000000"/>
          <w:kern w:val="0"/>
          <w:sz w:val="24"/>
          <w:szCs w:val="24"/>
        </w:rPr>
        <w:t xml:space="preserve">  </w:t>
      </w:r>
      <w:r>
        <w:rPr>
          <w:rFonts w:hint="eastAsia" w:ascii="宋体" w:hAnsi="宋体" w:cs="宋体"/>
          <w:color w:val="000000"/>
          <w:kern w:val="0"/>
          <w:sz w:val="24"/>
          <w:szCs w:val="24"/>
        </w:rPr>
        <w:t>学院根据考核结果，确定建议录取排序并上报学校审核。学校审核通过后，将在人文学院网站公示综合考核成绩、学校研招网公示拟录取名单。</w:t>
      </w:r>
    </w:p>
    <w:p w14:paraId="26EA25B3">
      <w:pPr>
        <w:widowControl/>
        <w:spacing w:before="75" w:after="75" w:line="360" w:lineRule="atLeast"/>
        <w:ind w:firstLine="360"/>
        <w:jc w:val="left"/>
        <w:rPr>
          <w:rFonts w:ascii="Arial" w:hAnsi="Arial" w:cs="Arial"/>
          <w:color w:val="000000"/>
          <w:kern w:val="0"/>
          <w:sz w:val="24"/>
          <w:szCs w:val="24"/>
        </w:rPr>
      </w:pPr>
      <w:r>
        <w:rPr>
          <w:rFonts w:hint="eastAsia" w:ascii="宋体" w:hAnsi="宋体" w:cs="Arial"/>
          <w:color w:val="000000"/>
          <w:kern w:val="0"/>
          <w:sz w:val="24"/>
          <w:szCs w:val="24"/>
        </w:rPr>
        <w:t>拟录取的博士研究生可选择2026年春季或秋季入学，入学前须取得硕士学历和学位。</w:t>
      </w:r>
    </w:p>
    <w:p w14:paraId="24C5EE85">
      <w:pPr>
        <w:widowControl/>
        <w:adjustRightInd w:val="0"/>
        <w:snapToGrid w:val="0"/>
        <w:spacing w:before="78" w:beforeLines="25" w:after="78" w:afterLines="25" w:line="360" w:lineRule="auto"/>
        <w:ind w:firstLine="360" w:firstLineChars="150"/>
        <w:jc w:val="left"/>
        <w:rPr>
          <w:rFonts w:ascii="宋体" w:hAnsi="宋体" w:cs="宋体"/>
          <w:kern w:val="0"/>
          <w:sz w:val="24"/>
          <w:szCs w:val="24"/>
        </w:rPr>
      </w:pPr>
    </w:p>
    <w:p w14:paraId="404461F9">
      <w:pPr>
        <w:widowControl/>
        <w:adjustRightInd w:val="0"/>
        <w:snapToGrid w:val="0"/>
        <w:spacing w:before="78" w:beforeLines="25" w:after="78" w:afterLines="25" w:line="360" w:lineRule="auto"/>
        <w:ind w:firstLine="360" w:firstLineChars="150"/>
        <w:jc w:val="left"/>
        <w:rPr>
          <w:rFonts w:ascii="宋体" w:hAnsi="宋体" w:cs="宋体"/>
          <w:kern w:val="0"/>
          <w:sz w:val="24"/>
          <w:szCs w:val="24"/>
        </w:rPr>
      </w:pPr>
      <w:bookmarkStart w:id="0" w:name="_GoBack"/>
      <w:bookmarkEnd w:id="0"/>
    </w:p>
    <w:p w14:paraId="7B675C13">
      <w:pPr>
        <w:pStyle w:val="11"/>
        <w:ind w:firstLine="0" w:firstLineChars="0"/>
        <w:jc w:val="left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>四</w:t>
      </w:r>
      <w:r>
        <w:rPr>
          <w:rFonts w:hint="eastAsia"/>
          <w:b/>
          <w:bCs/>
          <w:sz w:val="30"/>
          <w:szCs w:val="30"/>
        </w:rPr>
        <w:t>、联系方式</w:t>
      </w:r>
    </w:p>
    <w:p w14:paraId="48C87AB9">
      <w:pPr>
        <w:spacing w:line="360" w:lineRule="auto"/>
        <w:ind w:left="630" w:leftChars="300"/>
        <w:jc w:val="left"/>
        <w:rPr>
          <w:rFonts w:ascii="宋体" w:hAnsi="宋体" w:cs="宋体"/>
          <w:color w:val="000000"/>
          <w:kern w:val="0"/>
          <w:sz w:val="24"/>
          <w:szCs w:val="24"/>
        </w:rPr>
      </w:pPr>
      <w:r>
        <w:rPr>
          <w:rFonts w:hint="eastAsia" w:ascii="宋体" w:hAnsi="宋体" w:cs="宋体"/>
          <w:color w:val="000000"/>
          <w:kern w:val="0"/>
          <w:sz w:val="24"/>
          <w:szCs w:val="24"/>
        </w:rPr>
        <w:t>联系人：侯老师</w:t>
      </w:r>
      <w:r>
        <w:rPr>
          <w:rFonts w:ascii="宋体" w:hAnsi="宋体" w:cs="宋体"/>
          <w:color w:val="000000"/>
          <w:kern w:val="0"/>
          <w:sz w:val="24"/>
          <w:szCs w:val="24"/>
        </w:rPr>
        <w:t>，</w:t>
      </w:r>
      <w:r>
        <w:rPr>
          <w:rFonts w:hint="eastAsia" w:ascii="宋体" w:hAnsi="宋体" w:cs="宋体"/>
          <w:color w:val="000000"/>
          <w:kern w:val="0"/>
          <w:sz w:val="24"/>
          <w:szCs w:val="24"/>
        </w:rPr>
        <w:t>电话：021-</w:t>
      </w:r>
      <w:r>
        <w:rPr>
          <w:rFonts w:ascii="宋体" w:hAnsi="宋体" w:cs="宋体"/>
          <w:color w:val="000000"/>
          <w:kern w:val="0"/>
          <w:sz w:val="24"/>
          <w:szCs w:val="24"/>
        </w:rPr>
        <w:t>34205019</w:t>
      </w:r>
      <w:r>
        <w:rPr>
          <w:rFonts w:hint="eastAsia" w:ascii="宋体" w:hAnsi="宋体" w:cs="宋体"/>
          <w:color w:val="000000"/>
          <w:kern w:val="0"/>
          <w:sz w:val="24"/>
          <w:szCs w:val="24"/>
        </w:rPr>
        <w:t>转8</w:t>
      </w:r>
      <w:r>
        <w:rPr>
          <w:rFonts w:ascii="宋体" w:hAnsi="宋体" w:cs="宋体"/>
          <w:color w:val="000000"/>
          <w:kern w:val="0"/>
          <w:sz w:val="24"/>
          <w:szCs w:val="24"/>
        </w:rPr>
        <w:t>01，邮箱</w:t>
      </w:r>
      <w:r>
        <w:rPr>
          <w:rFonts w:hint="eastAsia" w:ascii="宋体" w:hAnsi="宋体" w:cs="宋体"/>
          <w:color w:val="000000"/>
          <w:kern w:val="0"/>
          <w:sz w:val="24"/>
          <w:szCs w:val="24"/>
        </w:rPr>
        <w:t>：rwky@sjtu.edu.cn</w:t>
      </w:r>
    </w:p>
    <w:p w14:paraId="5B392824">
      <w:pPr>
        <w:spacing w:line="360" w:lineRule="auto"/>
        <w:ind w:left="630" w:leftChars="300"/>
        <w:jc w:val="left"/>
        <w:rPr>
          <w:rFonts w:ascii="宋体" w:hAnsi="宋体" w:cs="宋体"/>
          <w:color w:val="000000"/>
          <w:kern w:val="0"/>
          <w:sz w:val="24"/>
          <w:szCs w:val="24"/>
        </w:rPr>
      </w:pPr>
      <w:r>
        <w:rPr>
          <w:rFonts w:hint="eastAsia" w:ascii="宋体" w:hAnsi="宋体" w:cs="宋体"/>
          <w:color w:val="000000"/>
          <w:kern w:val="0"/>
          <w:sz w:val="24"/>
          <w:szCs w:val="24"/>
        </w:rPr>
        <w:t>地址：上海交通大学闵行校区人文楼3</w:t>
      </w:r>
      <w:r>
        <w:rPr>
          <w:rFonts w:ascii="宋体" w:hAnsi="宋体" w:cs="宋体"/>
          <w:color w:val="000000"/>
          <w:kern w:val="0"/>
          <w:sz w:val="24"/>
          <w:szCs w:val="24"/>
        </w:rPr>
        <w:t>04</w:t>
      </w:r>
      <w:r>
        <w:rPr>
          <w:rFonts w:hint="eastAsia" w:ascii="宋体" w:hAnsi="宋体" w:cs="宋体"/>
          <w:color w:val="000000"/>
          <w:kern w:val="0"/>
          <w:sz w:val="24"/>
          <w:szCs w:val="24"/>
        </w:rPr>
        <w:t>室</w:t>
      </w:r>
    </w:p>
    <w:p w14:paraId="072CCDE5">
      <w:pPr>
        <w:jc w:val="right"/>
        <w:rPr>
          <w:b/>
          <w:bCs/>
          <w:sz w:val="30"/>
          <w:szCs w:val="30"/>
        </w:rPr>
      </w:pPr>
      <w:r>
        <w:rPr>
          <w:rFonts w:hint="eastAsia"/>
          <w:b/>
          <w:bCs/>
          <w:sz w:val="30"/>
          <w:szCs w:val="30"/>
        </w:rPr>
        <w:t xml:space="preserve">         上海</w:t>
      </w:r>
      <w:r>
        <w:rPr>
          <w:b/>
          <w:bCs/>
          <w:sz w:val="30"/>
          <w:szCs w:val="30"/>
        </w:rPr>
        <w:t>交通大学</w:t>
      </w:r>
      <w:r>
        <w:rPr>
          <w:rFonts w:hint="eastAsia"/>
          <w:b/>
          <w:bCs/>
          <w:sz w:val="30"/>
          <w:szCs w:val="30"/>
        </w:rPr>
        <w:t>人文</w:t>
      </w:r>
      <w:r>
        <w:rPr>
          <w:b/>
          <w:bCs/>
          <w:sz w:val="30"/>
          <w:szCs w:val="30"/>
        </w:rPr>
        <w:t>学院</w:t>
      </w:r>
    </w:p>
    <w:p w14:paraId="6BDA558A">
      <w:pPr>
        <w:jc w:val="right"/>
      </w:pPr>
      <w:r>
        <w:rPr>
          <w:rFonts w:hint="eastAsia"/>
          <w:b/>
          <w:bCs/>
          <w:sz w:val="30"/>
          <w:szCs w:val="30"/>
        </w:rPr>
        <w:t xml:space="preserve">            </w:t>
      </w:r>
      <w:r>
        <w:rPr>
          <w:b/>
          <w:bCs/>
          <w:sz w:val="30"/>
          <w:szCs w:val="30"/>
        </w:rPr>
        <w:t xml:space="preserve">      </w:t>
      </w:r>
      <w:r>
        <w:rPr>
          <w:rFonts w:hint="eastAsia"/>
          <w:b/>
          <w:bCs/>
          <w:sz w:val="30"/>
          <w:szCs w:val="30"/>
        </w:rPr>
        <w:t>20</w:t>
      </w:r>
      <w:r>
        <w:rPr>
          <w:b/>
          <w:bCs/>
          <w:sz w:val="30"/>
          <w:szCs w:val="30"/>
        </w:rPr>
        <w:t>2</w:t>
      </w:r>
      <w:r>
        <w:rPr>
          <w:rFonts w:hint="eastAsia"/>
          <w:b/>
          <w:bCs/>
          <w:sz w:val="30"/>
          <w:szCs w:val="30"/>
        </w:rPr>
        <w:t>5年12月2</w:t>
      </w:r>
      <w:r>
        <w:rPr>
          <w:b/>
          <w:bCs/>
          <w:sz w:val="30"/>
          <w:szCs w:val="30"/>
        </w:rPr>
        <w:t>5</w:t>
      </w:r>
      <w:r>
        <w:rPr>
          <w:rFonts w:hint="eastAsia"/>
          <w:b/>
          <w:bCs/>
          <w:sz w:val="30"/>
          <w:szCs w:val="30"/>
        </w:rPr>
        <w:t>日</w:t>
      </w:r>
    </w:p>
    <w:sectPr>
      <w:pgSz w:w="11906" w:h="16838"/>
      <w:pgMar w:top="794" w:right="1797" w:bottom="794" w:left="179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1698"/>
    <w:rsid w:val="00037C48"/>
    <w:rsid w:val="00044F37"/>
    <w:rsid w:val="002909F9"/>
    <w:rsid w:val="00406CBE"/>
    <w:rsid w:val="00474F1C"/>
    <w:rsid w:val="00501698"/>
    <w:rsid w:val="00526C57"/>
    <w:rsid w:val="005276E7"/>
    <w:rsid w:val="00651A2A"/>
    <w:rsid w:val="007948A6"/>
    <w:rsid w:val="008464CD"/>
    <w:rsid w:val="00873606"/>
    <w:rsid w:val="00880964"/>
    <w:rsid w:val="00973900"/>
    <w:rsid w:val="03D47677"/>
    <w:rsid w:val="05616943"/>
    <w:rsid w:val="0AD62182"/>
    <w:rsid w:val="0CB023E0"/>
    <w:rsid w:val="13030E48"/>
    <w:rsid w:val="143824FF"/>
    <w:rsid w:val="1A002777"/>
    <w:rsid w:val="1AB31597"/>
    <w:rsid w:val="2A9E191C"/>
    <w:rsid w:val="306C6018"/>
    <w:rsid w:val="359D7658"/>
    <w:rsid w:val="3C7D2493"/>
    <w:rsid w:val="3D4317D2"/>
    <w:rsid w:val="3D792EAA"/>
    <w:rsid w:val="48873808"/>
    <w:rsid w:val="49D24CE6"/>
    <w:rsid w:val="4A9F72BE"/>
    <w:rsid w:val="538928BA"/>
    <w:rsid w:val="541C1980"/>
    <w:rsid w:val="5AE17F7B"/>
    <w:rsid w:val="5C990449"/>
    <w:rsid w:val="658F0577"/>
    <w:rsid w:val="6CC14A1B"/>
    <w:rsid w:val="6D723F67"/>
    <w:rsid w:val="797F1EE5"/>
    <w:rsid w:val="7D1868D9"/>
    <w:rsid w:val="7D6F1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semiHidden="0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4"/>
    <w:qFormat/>
    <w:uiPriority w:val="99"/>
    <w:rPr>
      <w:sz w:val="18"/>
      <w:szCs w:val="18"/>
    </w:rPr>
  </w:style>
  <w:style w:type="paragraph" w:styleId="3">
    <w:name w:val="footer"/>
    <w:basedOn w:val="1"/>
    <w:link w:val="13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2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8">
    <w:name w:val="Strong"/>
    <w:basedOn w:val="7"/>
    <w:qFormat/>
    <w:uiPriority w:val="22"/>
    <w:rPr>
      <w:b/>
      <w:bCs/>
    </w:rPr>
  </w:style>
  <w:style w:type="character" w:styleId="9">
    <w:name w:val="Hyperlink"/>
    <w:basedOn w:val="7"/>
    <w:semiHidden/>
    <w:unhideWhenUsed/>
    <w:qFormat/>
    <w:uiPriority w:val="99"/>
    <w:rPr>
      <w:color w:val="0000FF"/>
      <w:u w:val="single"/>
    </w:rPr>
  </w:style>
  <w:style w:type="paragraph" w:customStyle="1" w:styleId="10">
    <w:name w:val="Default"/>
    <w:qFormat/>
    <w:uiPriority w:val="0"/>
    <w:pPr>
      <w:widowControl w:val="0"/>
      <w:autoSpaceDE w:val="0"/>
      <w:autoSpaceDN w:val="0"/>
      <w:adjustRightInd w:val="0"/>
    </w:pPr>
    <w:rPr>
      <w:rFonts w:ascii="Times New Roman" w:hAnsi="Times New Roman" w:eastAsia="宋体" w:cs="Times New Roman"/>
      <w:color w:val="000000"/>
      <w:sz w:val="24"/>
      <w:szCs w:val="24"/>
      <w:lang w:val="en-US" w:eastAsia="zh-CN" w:bidi="ar-SA"/>
    </w:rPr>
  </w:style>
  <w:style w:type="paragraph" w:styleId="11">
    <w:name w:val="List Paragraph"/>
    <w:basedOn w:val="1"/>
    <w:qFormat/>
    <w:uiPriority w:val="34"/>
    <w:pPr>
      <w:ind w:firstLine="420" w:firstLineChars="200"/>
    </w:pPr>
  </w:style>
  <w:style w:type="character" w:customStyle="1" w:styleId="12">
    <w:name w:val="页眉 Char"/>
    <w:basedOn w:val="7"/>
    <w:link w:val="4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3">
    <w:name w:val="页脚 Char"/>
    <w:basedOn w:val="7"/>
    <w:link w:val="3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4">
    <w:name w:val="批注框文本 Char"/>
    <w:basedOn w:val="7"/>
    <w:link w:val="2"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P R C</Company>
  <Pages>3</Pages>
  <Words>1318</Words>
  <Characters>1443</Characters>
  <Lines>11</Lines>
  <Paragraphs>3</Paragraphs>
  <TotalTime>39</TotalTime>
  <ScaleCrop>false</ScaleCrop>
  <LinksUpToDate>false</LinksUpToDate>
  <CharactersWithSpaces>1477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2024-12-30T00:47:00Z</dcterms:created>
  <dc:creator>Windows 用户</dc:creator>
  <cp:lastModifiedBy>侯洪颖</cp:lastModifiedBy>
  <cp:lastPrinted>2020-12-23T07:59:00Z</cp:lastPrinted>
  <dcterms:modified xsi:type="dcterms:W3CDTF">2025-12-26T00:36:43Z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8D44488FCF7D4EC8A06CC9D3BD0A9F02_13</vt:lpwstr>
  </property>
  <property fmtid="{D5CDD505-2E9C-101B-9397-08002B2CF9AE}" pid="3" name="KSOProductBuildVer">
    <vt:lpwstr>2052-12.1.0.20305</vt:lpwstr>
  </property>
  <property fmtid="{D5CDD505-2E9C-101B-9397-08002B2CF9AE}" pid="4" name="KSOTemplateDocerSaveRecord">
    <vt:lpwstr>eyJoZGlkIjoiNTEwN2U1MjdlOTA1NGZkZWRlMDk4ZTg0YzRhYzY5MmQiLCJ1c2VySWQiOiIxNzEzNjk1MzE1In0=</vt:lpwstr>
  </property>
</Properties>
</file>